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left="-1039" w:leftChars="-495" w:firstLine="0" w:firstLineChars="0"/>
        <w:jc w:val="center"/>
        <w:rPr>
          <w:rFonts w:hint="eastAsia" w:ascii="Times New Roman" w:hAnsi="Times New Roman" w:cs="Times New Roman" w:eastAsiaTheme="minorEastAsia"/>
          <w:sz w:val="24"/>
          <w:szCs w:val="24"/>
          <w:u w:val="none"/>
          <w:vertAlign w:val="superscript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u w:val="none"/>
          <w:lang w:val="en-US" w:eastAsia="zh-CN"/>
        </w:rPr>
        <w:t>Additional file 7 Recommendations of</w:t>
      </w:r>
      <w:r>
        <w:rPr>
          <w:rFonts w:hint="eastAsia" w:ascii="Times New Roman" w:hAnsi="Times New Roman" w:cs="Times New Roman"/>
          <w:sz w:val="24"/>
          <w:szCs w:val="24"/>
          <w:u w:val="none"/>
          <w:lang w:val="en-US" w:eastAsia="zh-CN"/>
        </w:rPr>
        <w:t xml:space="preserve"> </w:t>
      </w:r>
      <w:bookmarkStart w:id="0" w:name="OLE_LINK80"/>
      <w:r>
        <w:rPr>
          <w:rFonts w:hint="eastAsia" w:ascii="Times New Roman" w:hAnsi="Times New Roman" w:cs="Times New Roman"/>
          <w:sz w:val="24"/>
          <w:szCs w:val="24"/>
          <w:u w:val="none"/>
          <w:lang w:val="en-US" w:eastAsia="zh-CN"/>
        </w:rPr>
        <w:t>immediate postoperative instillation</w:t>
      </w:r>
      <w:bookmarkEnd w:id="0"/>
      <w:r>
        <w:rPr>
          <w:rFonts w:hint="eastAsia" w:ascii="Times New Roman" w:hAnsi="Times New Roman" w:cs="Times New Roman"/>
          <w:sz w:val="24"/>
          <w:szCs w:val="24"/>
          <w:u w:val="none"/>
          <w:vertAlign w:val="superscript"/>
          <w:lang w:val="en-US" w:eastAsia="zh-CN"/>
        </w:rPr>
        <w:t>a</w:t>
      </w:r>
      <w:bookmarkStart w:id="4" w:name="_GoBack"/>
      <w:bookmarkEnd w:id="4"/>
    </w:p>
    <w:tbl>
      <w:tblPr>
        <w:tblStyle w:val="3"/>
        <w:tblW w:w="16271" w:type="dxa"/>
        <w:jc w:val="center"/>
        <w:tblInd w:w="121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2"/>
        <w:gridCol w:w="2634"/>
        <w:gridCol w:w="1241"/>
        <w:gridCol w:w="1254"/>
        <w:gridCol w:w="1281"/>
        <w:gridCol w:w="1220"/>
        <w:gridCol w:w="2453"/>
        <w:gridCol w:w="1185"/>
        <w:gridCol w:w="1977"/>
        <w:gridCol w:w="115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2" w:type="dxa"/>
            <w:vMerge w:val="restart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Guideline ID</w:t>
            </w:r>
          </w:p>
        </w:tc>
        <w:tc>
          <w:tcPr>
            <w:tcW w:w="14399" w:type="dxa"/>
            <w:gridSpan w:val="9"/>
            <w:tcBorders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Immediate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 xml:space="preserve"> p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  <w:t>ostoperative instillation of intravesical chemotherapy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  <w:jc w:val="center"/>
        </w:trPr>
        <w:tc>
          <w:tcPr>
            <w:tcW w:w="1872" w:type="dxa"/>
            <w:vMerge w:val="continue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</w:p>
        </w:tc>
        <w:tc>
          <w:tcPr>
            <w:tcW w:w="387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Be recommended</w:t>
            </w:r>
          </w:p>
        </w:tc>
        <w:tc>
          <w:tcPr>
            <w:tcW w:w="125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Single dose</w:t>
            </w:r>
          </w:p>
        </w:tc>
        <w:tc>
          <w:tcPr>
            <w:tcW w:w="2501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Within 24 hours</w:t>
            </w:r>
          </w:p>
        </w:tc>
        <w:tc>
          <w:tcPr>
            <w:tcW w:w="363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Recommended </w:t>
            </w:r>
            <w:bookmarkStart w:id="1" w:name="OLE_LINK169"/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agent</w:t>
            </w:r>
            <w:bookmarkEnd w:id="1"/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s</w:t>
            </w:r>
          </w:p>
        </w:tc>
        <w:tc>
          <w:tcPr>
            <w:tcW w:w="3131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  <w:t>Contraindication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  <w:jc w:val="center"/>
        </w:trPr>
        <w:tc>
          <w:tcPr>
            <w:tcW w:w="1872" w:type="dxa"/>
            <w:vMerge w:val="continue"/>
            <w:tcBorders>
              <w:bottom w:val="single" w:color="auto" w:sz="4" w:space="0"/>
            </w:tcBorders>
            <w:shd w:val="clear" w:color="auto" w:fill="FFFF00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</w:p>
        </w:tc>
        <w:tc>
          <w:tcPr>
            <w:tcW w:w="263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RS</w:t>
            </w:r>
          </w:p>
        </w:tc>
        <w:tc>
          <w:tcPr>
            <w:tcW w:w="124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SOR/LOE</w:t>
            </w:r>
          </w:p>
        </w:tc>
        <w:tc>
          <w:tcPr>
            <w:tcW w:w="125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SOR/LOE</w:t>
            </w:r>
          </w:p>
        </w:tc>
        <w:tc>
          <w:tcPr>
            <w:tcW w:w="128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bookmarkStart w:id="2" w:name="OLE_LINK81"/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Supplemen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t</w:t>
            </w:r>
            <w:bookmarkEnd w:id="2"/>
          </w:p>
        </w:tc>
        <w:tc>
          <w:tcPr>
            <w:tcW w:w="122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SOR/LOE</w:t>
            </w:r>
          </w:p>
        </w:tc>
        <w:tc>
          <w:tcPr>
            <w:tcW w:w="2453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Type of agents</w:t>
            </w:r>
          </w:p>
        </w:tc>
        <w:tc>
          <w:tcPr>
            <w:tcW w:w="118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SOR/LOE</w:t>
            </w:r>
          </w:p>
        </w:tc>
        <w:tc>
          <w:tcPr>
            <w:tcW w:w="197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Description</w:t>
            </w:r>
          </w:p>
        </w:tc>
        <w:tc>
          <w:tcPr>
            <w:tcW w:w="115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SOR/LOE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872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ESMO,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2014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[8]</w:t>
            </w:r>
          </w:p>
        </w:tc>
        <w:tc>
          <w:tcPr>
            <w:tcW w:w="2634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ccording to risk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stratification</w:t>
            </w:r>
          </w:p>
        </w:tc>
        <w:tc>
          <w:tcPr>
            <w:tcW w:w="1241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A/I</w:t>
            </w:r>
          </w:p>
        </w:tc>
        <w:tc>
          <w:tcPr>
            <w:tcW w:w="1254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1281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-</w:t>
            </w:r>
          </w:p>
        </w:tc>
        <w:tc>
          <w:tcPr>
            <w:tcW w:w="1220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245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-</w:t>
            </w:r>
          </w:p>
        </w:tc>
        <w:tc>
          <w:tcPr>
            <w:tcW w:w="118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197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-</w:t>
            </w:r>
          </w:p>
        </w:tc>
        <w:tc>
          <w:tcPr>
            <w:tcW w:w="1154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872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NICE,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2015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superscript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[9]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superscript"/>
                <w:lang w:val="en-US" w:eastAsia="zh-CN"/>
              </w:rPr>
              <w:t>b</w:t>
            </w:r>
          </w:p>
        </w:tc>
        <w:tc>
          <w:tcPr>
            <w:tcW w:w="2634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-</w:t>
            </w:r>
          </w:p>
        </w:tc>
        <w:tc>
          <w:tcPr>
            <w:tcW w:w="1241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/</w:t>
            </w:r>
            <w:bookmarkStart w:id="3" w:name="OLE_LINK53"/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high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low</w:t>
            </w:r>
            <w:bookmarkEnd w:id="3"/>
          </w:p>
        </w:tc>
        <w:tc>
          <w:tcPr>
            <w:tcW w:w="1254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/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high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low</w:t>
            </w:r>
          </w:p>
        </w:tc>
        <w:tc>
          <w:tcPr>
            <w:tcW w:w="1281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At the same time as the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  <w:t>first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TU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R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BT</w:t>
            </w:r>
          </w:p>
        </w:tc>
        <w:tc>
          <w:tcPr>
            <w:tcW w:w="1220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/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high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low</w:t>
            </w:r>
          </w:p>
        </w:tc>
        <w:tc>
          <w:tcPr>
            <w:tcW w:w="245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-US" w:eastAsia="zh-CN"/>
              </w:rPr>
              <w:t>M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u w:val="none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  <w:t>C</w:t>
            </w:r>
          </w:p>
        </w:tc>
        <w:tc>
          <w:tcPr>
            <w:tcW w:w="118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A/high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low</w:t>
            </w:r>
          </w:p>
        </w:tc>
        <w:tc>
          <w:tcPr>
            <w:tcW w:w="197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-</w:t>
            </w:r>
          </w:p>
        </w:tc>
        <w:tc>
          <w:tcPr>
            <w:tcW w:w="1154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872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CUA,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2015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superscript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[10]</w:t>
            </w:r>
          </w:p>
        </w:tc>
        <w:tc>
          <w:tcPr>
            <w:tcW w:w="2634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-</w:t>
            </w:r>
          </w:p>
        </w:tc>
        <w:tc>
          <w:tcPr>
            <w:tcW w:w="1241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B/-</w:t>
            </w:r>
          </w:p>
        </w:tc>
        <w:tc>
          <w:tcPr>
            <w:tcW w:w="1254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B/-</w:t>
            </w:r>
          </w:p>
        </w:tc>
        <w:tc>
          <w:tcPr>
            <w:tcW w:w="1281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-</w:t>
            </w:r>
          </w:p>
        </w:tc>
        <w:tc>
          <w:tcPr>
            <w:tcW w:w="1220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245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-</w:t>
            </w:r>
          </w:p>
        </w:tc>
        <w:tc>
          <w:tcPr>
            <w:tcW w:w="118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197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B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  <w:t>ladder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p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  <w:t>erforation or deep/extensive resection</w:t>
            </w:r>
          </w:p>
        </w:tc>
        <w:tc>
          <w:tcPr>
            <w:tcW w:w="1154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C/-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872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</w:rPr>
              <w:t>AUA</w:t>
            </w:r>
            <w:r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  <w:lang w:val="zh-CN"/>
              </w:rPr>
              <w:t>/</w:t>
            </w:r>
            <w:r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  <w:lang w:val="en-US"/>
              </w:rPr>
              <w:t>SUO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lang w:val="en-US" w:eastAsia="zh-CN"/>
              </w:rPr>
              <w:t>, 2016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u w:val="none"/>
                <w:lang w:val="en-US" w:eastAsia="zh-CN"/>
              </w:rPr>
              <w:t xml:space="preserve"> [3]</w:t>
            </w:r>
          </w:p>
        </w:tc>
        <w:tc>
          <w:tcPr>
            <w:tcW w:w="2634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ow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 xml:space="preserve"> risk,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intermediate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risk</w:t>
            </w:r>
          </w:p>
        </w:tc>
        <w:tc>
          <w:tcPr>
            <w:tcW w:w="1241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Moderate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/B</w:t>
            </w:r>
          </w:p>
        </w:tc>
        <w:tc>
          <w:tcPr>
            <w:tcW w:w="1254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Moderate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/B</w:t>
            </w:r>
          </w:p>
        </w:tc>
        <w:tc>
          <w:tcPr>
            <w:tcW w:w="128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220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Moderate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/B</w:t>
            </w:r>
          </w:p>
        </w:tc>
        <w:tc>
          <w:tcPr>
            <w:tcW w:w="245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M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C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epirubicin</w:t>
            </w:r>
          </w:p>
        </w:tc>
        <w:tc>
          <w:tcPr>
            <w:tcW w:w="118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Moderate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/B</w:t>
            </w:r>
          </w:p>
        </w:tc>
        <w:tc>
          <w:tcPr>
            <w:tcW w:w="197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B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  <w:t>ladd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er p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erforation or extensive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resection</w:t>
            </w:r>
          </w:p>
        </w:tc>
        <w:tc>
          <w:tcPr>
            <w:tcW w:w="1154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Moderate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/B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872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JUA,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2016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[11]</w:t>
            </w:r>
          </w:p>
        </w:tc>
        <w:tc>
          <w:tcPr>
            <w:tcW w:w="2634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241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1254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128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220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245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18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197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1154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1872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EAU,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2018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[12]</w:t>
            </w:r>
          </w:p>
        </w:tc>
        <w:tc>
          <w:tcPr>
            <w:tcW w:w="2634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  <w:t>ow risk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  <w:t xml:space="preserve">intermediate risk with recurrence rate </w:t>
            </w:r>
            <w:r>
              <w:rPr>
                <w:rFonts w:hint="default" w:ascii="Times New Roman" w:hAnsi="Times New Roman" w:eastAsia="楷体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≤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  <w:t xml:space="preserve"> per year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-US" w:eastAsia="zh-CN"/>
              </w:rPr>
              <w:t xml:space="preserve">and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  <w:t>EORTC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</w:rPr>
              <w:t>&lt; 5</w:t>
            </w:r>
          </w:p>
        </w:tc>
        <w:tc>
          <w:tcPr>
            <w:tcW w:w="1241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Strong/1a-3</w:t>
            </w:r>
          </w:p>
        </w:tc>
        <w:tc>
          <w:tcPr>
            <w:tcW w:w="1254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Weak/1a-3</w:t>
            </w:r>
          </w:p>
        </w:tc>
        <w:tc>
          <w:tcPr>
            <w:tcW w:w="128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220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Weak/3</w:t>
            </w:r>
          </w:p>
        </w:tc>
        <w:tc>
          <w:tcPr>
            <w:tcW w:w="245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18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197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B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</w:rPr>
              <w:t>ladder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</w:rPr>
              <w:t>perforation or bleeding requiring bladder irrigation</w:t>
            </w:r>
          </w:p>
        </w:tc>
        <w:tc>
          <w:tcPr>
            <w:tcW w:w="1154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Strong/-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  <w:jc w:val="center"/>
        </w:trPr>
        <w:tc>
          <w:tcPr>
            <w:tcW w:w="1872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ICUD/SIU, 2018</w:t>
            </w:r>
            <w:r>
              <w:rPr>
                <w:rFonts w:hint="eastAsia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[13]</w:t>
            </w:r>
          </w:p>
        </w:tc>
        <w:tc>
          <w:tcPr>
            <w:tcW w:w="2634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241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A/1a</w:t>
            </w:r>
          </w:p>
        </w:tc>
        <w:tc>
          <w:tcPr>
            <w:tcW w:w="1254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A/1a</w:t>
            </w:r>
          </w:p>
        </w:tc>
        <w:tc>
          <w:tcPr>
            <w:tcW w:w="1281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220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245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118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7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154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  <w:jc w:val="center"/>
        </w:trPr>
        <w:tc>
          <w:tcPr>
            <w:tcW w:w="1872" w:type="dxa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sz w:val="21"/>
                <w:szCs w:val="21"/>
                <w:u w:val="none"/>
              </w:rPr>
              <w:t>CRHA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u w:val="none"/>
                <w:lang w:val="en-US" w:eastAsia="zh-CN"/>
              </w:rPr>
              <w:t>/CPAM, 2018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u w:val="none"/>
                <w:lang w:val="en-US" w:eastAsia="zh-CN"/>
              </w:rPr>
              <w:t xml:space="preserve"> [14]</w:t>
            </w:r>
          </w:p>
        </w:tc>
        <w:tc>
          <w:tcPr>
            <w:tcW w:w="2634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241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B/1a</w:t>
            </w:r>
          </w:p>
        </w:tc>
        <w:tc>
          <w:tcPr>
            <w:tcW w:w="1254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B/1a</w:t>
            </w:r>
          </w:p>
        </w:tc>
        <w:tc>
          <w:tcPr>
            <w:tcW w:w="1281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-</w:t>
            </w:r>
          </w:p>
        </w:tc>
        <w:tc>
          <w:tcPr>
            <w:tcW w:w="1220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-/-</w:t>
            </w:r>
          </w:p>
        </w:tc>
        <w:tc>
          <w:tcPr>
            <w:tcW w:w="245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M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C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epirubicin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, doxorubicin, pirarubicin, hydroxycamptothecine</w:t>
            </w:r>
          </w:p>
        </w:tc>
        <w:tc>
          <w:tcPr>
            <w:tcW w:w="118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B/1a</w:t>
            </w:r>
          </w:p>
        </w:tc>
        <w:tc>
          <w:tcPr>
            <w:tcW w:w="1977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B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  <w:t>ladder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p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erforation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 xml:space="preserve"> or severe haematuria</w:t>
            </w:r>
          </w:p>
        </w:tc>
        <w:tc>
          <w:tcPr>
            <w:tcW w:w="1154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C/4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872" w:type="dxa"/>
            <w:vMerge w:val="restart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superscript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NCCN,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2019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[15]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superscript"/>
                <w:lang w:val="en-US" w:eastAsia="zh-CN"/>
              </w:rPr>
              <w:t>c</w:t>
            </w:r>
          </w:p>
        </w:tc>
        <w:tc>
          <w:tcPr>
            <w:tcW w:w="2634" w:type="dxa"/>
            <w:vMerge w:val="restart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EORTC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&lt;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5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tumors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&lt;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 xml:space="preserve"> 8,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 xml:space="preserve">  recurrence rate &lt; 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 xml:space="preserve"> per year</w:t>
            </w:r>
          </w:p>
        </w:tc>
        <w:tc>
          <w:tcPr>
            <w:tcW w:w="1241" w:type="dxa"/>
            <w:vMerge w:val="restart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B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/2A</w:t>
            </w:r>
          </w:p>
        </w:tc>
        <w:tc>
          <w:tcPr>
            <w:tcW w:w="1254" w:type="dxa"/>
            <w:vMerge w:val="restart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B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/2A</w:t>
            </w:r>
          </w:p>
        </w:tc>
        <w:tc>
          <w:tcPr>
            <w:tcW w:w="1281" w:type="dxa"/>
            <w:vMerge w:val="restart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I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deally within 6 hours</w:t>
            </w:r>
          </w:p>
        </w:tc>
        <w:tc>
          <w:tcPr>
            <w:tcW w:w="1220" w:type="dxa"/>
            <w:vMerge w:val="restart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B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/2A</w:t>
            </w:r>
          </w:p>
        </w:tc>
        <w:tc>
          <w:tcPr>
            <w:tcW w:w="2453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Gemcitabine</w:t>
            </w:r>
          </w:p>
        </w:tc>
        <w:tc>
          <w:tcPr>
            <w:tcW w:w="118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/1</w:t>
            </w:r>
          </w:p>
        </w:tc>
        <w:tc>
          <w:tcPr>
            <w:tcW w:w="1977" w:type="dxa"/>
            <w:vMerge w:val="restart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B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>ladder perforation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 xml:space="preserve"> or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  <w:t xml:space="preserve"> known drug allergy</w:t>
            </w:r>
          </w:p>
        </w:tc>
        <w:tc>
          <w:tcPr>
            <w:tcW w:w="1154" w:type="dxa"/>
            <w:vMerge w:val="restart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B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/2A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1872" w:type="dxa"/>
            <w:vMerge w:val="continue"/>
            <w:noWrap w:val="0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</w:p>
        </w:tc>
        <w:tc>
          <w:tcPr>
            <w:tcW w:w="2634" w:type="dxa"/>
            <w:vMerge w:val="continue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</w:p>
        </w:tc>
        <w:tc>
          <w:tcPr>
            <w:tcW w:w="1241" w:type="dxa"/>
            <w:vMerge w:val="continue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</w:p>
        </w:tc>
        <w:tc>
          <w:tcPr>
            <w:tcW w:w="1254" w:type="dxa"/>
            <w:vMerge w:val="continue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</w:p>
        </w:tc>
        <w:tc>
          <w:tcPr>
            <w:tcW w:w="1281" w:type="dxa"/>
            <w:vMerge w:val="continue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</w:p>
        </w:tc>
        <w:tc>
          <w:tcPr>
            <w:tcW w:w="1220" w:type="dxa"/>
            <w:vMerge w:val="continue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</w:p>
        </w:tc>
        <w:tc>
          <w:tcPr>
            <w:tcW w:w="2453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cs="Times New Roman" w:eastAsiaTheme="minor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  <w:t>M</w:t>
            </w: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MC</w:t>
            </w:r>
          </w:p>
        </w:tc>
        <w:tc>
          <w:tcPr>
            <w:tcW w:w="1185" w:type="dxa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u w:val="none"/>
                <w:lang w:val="en-US" w:eastAsia="zh-CN"/>
              </w:rPr>
              <w:t>B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  <w:lang w:val="en-US" w:eastAsia="zh-CN"/>
              </w:rPr>
              <w:t>/1</w:t>
            </w:r>
          </w:p>
        </w:tc>
        <w:tc>
          <w:tcPr>
            <w:tcW w:w="1977" w:type="dxa"/>
            <w:vMerge w:val="continue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</w:p>
        </w:tc>
        <w:tc>
          <w:tcPr>
            <w:tcW w:w="1154" w:type="dxa"/>
            <w:vMerge w:val="continue"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  <w:vertAlign w:val="baseline"/>
              </w:rPr>
            </w:pPr>
          </w:p>
        </w:tc>
      </w:tr>
    </w:tbl>
    <w:p>
      <w:pPr>
        <w:spacing w:line="240" w:lineRule="auto"/>
        <w:ind w:left="-1039" w:leftChars="-495" w:right="-542" w:rightChars="-258" w:firstLine="0" w:firstLineChars="0"/>
        <w:jc w:val="both"/>
        <w:rPr>
          <w:rFonts w:hint="default" w:ascii="Times New Roman" w:hAnsi="Times New Roman" w:cs="Times New Roman"/>
          <w:sz w:val="21"/>
          <w:szCs w:val="21"/>
          <w:u w:val="none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sz w:val="21"/>
          <w:szCs w:val="21"/>
          <w:u w:val="none"/>
          <w:vertAlign w:val="baseline"/>
          <w:lang w:val="en-US" w:eastAsia="zh-CN"/>
        </w:rPr>
        <w:t>RS, r</w:t>
      </w:r>
      <w:r>
        <w:rPr>
          <w:rFonts w:hint="default" w:ascii="Times New Roman" w:hAnsi="Times New Roman" w:cs="Times New Roman"/>
          <w:sz w:val="21"/>
          <w:szCs w:val="21"/>
          <w:u w:val="none"/>
          <w:vertAlign w:val="baseline"/>
          <w:lang w:val="en-US" w:eastAsia="zh-CN"/>
        </w:rPr>
        <w:t xml:space="preserve">isk </w:t>
      </w:r>
      <w:r>
        <w:rPr>
          <w:rFonts w:hint="eastAsia" w:ascii="Times New Roman" w:hAnsi="Times New Roman" w:cs="Times New Roman"/>
          <w:sz w:val="21"/>
          <w:szCs w:val="21"/>
          <w:u w:val="none"/>
          <w:vertAlign w:val="baseline"/>
          <w:lang w:val="en-US" w:eastAsia="zh-CN"/>
        </w:rPr>
        <w:t>s</w:t>
      </w:r>
      <w:r>
        <w:rPr>
          <w:rFonts w:hint="default" w:ascii="Times New Roman" w:hAnsi="Times New Roman" w:cs="Times New Roman"/>
          <w:sz w:val="21"/>
          <w:szCs w:val="21"/>
          <w:u w:val="none"/>
          <w:vertAlign w:val="baseline"/>
          <w:lang w:val="en-US" w:eastAsia="zh-CN"/>
        </w:rPr>
        <w:t>tratification</w:t>
      </w:r>
      <w:r>
        <w:rPr>
          <w:rFonts w:hint="eastAsia" w:ascii="Times New Roman" w:hAnsi="Times New Roman" w:cs="Times New Roman"/>
          <w:sz w:val="21"/>
          <w:szCs w:val="21"/>
          <w:u w:val="none"/>
          <w:vertAlign w:val="baseline"/>
          <w:lang w:val="en-US" w:eastAsia="zh-CN"/>
        </w:rPr>
        <w:t>.</w:t>
      </w:r>
    </w:p>
    <w:p>
      <w:pPr>
        <w:spacing w:line="240" w:lineRule="auto"/>
        <w:ind w:left="-1039" w:leftChars="-495" w:right="-542" w:rightChars="-258" w:firstLine="0" w:firstLineChars="0"/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sz w:val="21"/>
          <w:szCs w:val="21"/>
          <w:vertAlign w:val="superscript"/>
          <w:lang w:val="en-US" w:eastAsia="zh-CN"/>
        </w:rPr>
        <w:t xml:space="preserve">a </w:t>
      </w:r>
      <w:r>
        <w:rPr>
          <w:rFonts w:hint="default" w:ascii="Times New Roman" w:hAnsi="Times New Roman" w:cs="Times New Roman"/>
          <w:sz w:val="21"/>
          <w:szCs w:val="21"/>
          <w:lang w:val="en-GB"/>
        </w:rPr>
        <w:t>The SOR and LOE are presented as “SOR/LOE”. “-” indicates that the recommendation or evidence was not presented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</w:t>
      </w:r>
    </w:p>
    <w:p>
      <w:pPr>
        <w:spacing w:line="240" w:lineRule="auto"/>
        <w:ind w:left="-1039" w:leftChars="-495" w:right="-542" w:rightChars="-258" w:firstLine="0" w:firstLineChars="0"/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sz w:val="21"/>
          <w:szCs w:val="21"/>
          <w:vertAlign w:val="superscript"/>
          <w:lang w:val="en-US" w:eastAsia="zh-CN"/>
        </w:rPr>
        <w:t>b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val="en-GB"/>
        </w:rPr>
        <w:t>To simplify the table, we used “A” and “B” instead of “should/should not/offer/do not offer/refer/advise” or “consider” for presenting SOR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</w:t>
      </w:r>
    </w:p>
    <w:p>
      <w:pPr>
        <w:spacing w:line="240" w:lineRule="auto"/>
        <w:ind w:left="-1039" w:leftChars="-495" w:right="-542" w:rightChars="-258" w:firstLine="0" w:firstLineChars="0"/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sz w:val="21"/>
          <w:szCs w:val="21"/>
          <w:vertAlign w:val="superscript"/>
          <w:lang w:val="en-US" w:eastAsia="zh-CN"/>
        </w:rPr>
        <w:t>c</w:t>
      </w:r>
      <w:r>
        <w:rPr>
          <w:rFonts w:hint="default" w:ascii="Times New Roman" w:hAnsi="Times New Roman" w:cs="Times New Roman"/>
          <w:sz w:val="21"/>
          <w:szCs w:val="21"/>
          <w:lang w:val="en-GB"/>
        </w:rPr>
        <w:t xml:space="preserve"> To simplify the table, we used “A” and “B”, “C” instead of “preferred intervention”, “other recommended intervention”, or “useful in certain circumstances” for presenting SOR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.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5D4F13"/>
    <w:rsid w:val="07006692"/>
    <w:rsid w:val="0A9E515F"/>
    <w:rsid w:val="0F831B32"/>
    <w:rsid w:val="355D4F13"/>
    <w:rsid w:val="35771E38"/>
    <w:rsid w:val="36B312F9"/>
    <w:rsid w:val="3D4C3238"/>
    <w:rsid w:val="4D654857"/>
    <w:rsid w:val="62EC477D"/>
    <w:rsid w:val="76E27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2019-03-10T02:39:00Z</dcterms:created>
  <dc:creator>仟木且耐之</dc:creator>
  <cp:lastModifiedBy>张菁</cp:lastModifiedBy>
  <dcterms:modified xsi:type="dcterms:W3CDTF">2019-07-08T09:13:06Z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